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4653"/>
        <w:gridCol w:w="4401"/>
      </w:tblGrid>
      <w:tr w:rsidR="00E30E79" w:rsidTr="00E538C7">
        <w:tc>
          <w:tcPr>
            <w:tcW w:w="1746" w:type="dxa"/>
            <w:vAlign w:val="center"/>
          </w:tcPr>
          <w:p w:rsidR="00E30E79" w:rsidRDefault="00E538C7" w:rsidP="00E30E79">
            <w:pPr>
              <w:jc w:val="center"/>
            </w:pPr>
            <w:r>
              <w:rPr>
                <w:noProof/>
              </w:rPr>
              <w:drawing>
                <wp:inline distT="0" distB="0" distL="0" distR="0" wp14:anchorId="145D4276" wp14:editId="58CB760B">
                  <wp:extent cx="967563" cy="814043"/>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 Logo&amp;Quote 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2055" cy="817822"/>
                          </a:xfrm>
                          <a:prstGeom prst="rect">
                            <a:avLst/>
                          </a:prstGeom>
                        </pic:spPr>
                      </pic:pic>
                    </a:graphicData>
                  </a:graphic>
                </wp:inline>
              </w:drawing>
            </w:r>
          </w:p>
        </w:tc>
        <w:tc>
          <w:tcPr>
            <w:tcW w:w="4752" w:type="dxa"/>
            <w:vAlign w:val="center"/>
          </w:tcPr>
          <w:p w:rsidR="00E30E79" w:rsidRPr="00E30E79" w:rsidRDefault="00E30E79" w:rsidP="00E30E79">
            <w:pPr>
              <w:rPr>
                <w:b/>
                <w:sz w:val="36"/>
              </w:rPr>
            </w:pPr>
            <w:r w:rsidRPr="00E30E79">
              <w:rPr>
                <w:b/>
                <w:sz w:val="36"/>
              </w:rPr>
              <w:t>S</w:t>
            </w:r>
            <w:r w:rsidR="008672FE">
              <w:rPr>
                <w:b/>
                <w:sz w:val="36"/>
              </w:rPr>
              <w:t>A3</w:t>
            </w:r>
          </w:p>
          <w:p w:rsidR="00E30E79" w:rsidRPr="00E30E79" w:rsidRDefault="00E30E79" w:rsidP="00E30E79">
            <w:pPr>
              <w:rPr>
                <w:b/>
                <w:sz w:val="36"/>
              </w:rPr>
            </w:pPr>
            <w:r w:rsidRPr="00E30E79">
              <w:rPr>
                <w:b/>
                <w:sz w:val="36"/>
              </w:rPr>
              <w:t>World Geography</w:t>
            </w:r>
            <w:r w:rsidR="00D03D43">
              <w:rPr>
                <w:b/>
                <w:sz w:val="36"/>
              </w:rPr>
              <w:t xml:space="preserve"> Pre-AP</w:t>
            </w:r>
          </w:p>
          <w:p w:rsidR="00E30E79" w:rsidRDefault="00E30E79" w:rsidP="00E30E79">
            <w:r w:rsidRPr="00E30E79">
              <w:rPr>
                <w:b/>
                <w:sz w:val="36"/>
              </w:rPr>
              <w:t>Course Syllabus</w:t>
            </w:r>
          </w:p>
        </w:tc>
        <w:tc>
          <w:tcPr>
            <w:tcW w:w="4518" w:type="dxa"/>
            <w:vAlign w:val="center"/>
          </w:tcPr>
          <w:p w:rsidR="00DD71F8" w:rsidRDefault="00DD71F8" w:rsidP="00DD71F8">
            <w:pPr>
              <w:jc w:val="right"/>
              <w:rPr>
                <w:sz w:val="24"/>
              </w:rPr>
            </w:pPr>
            <w:r>
              <w:rPr>
                <w:sz w:val="24"/>
              </w:rPr>
              <w:t xml:space="preserve">Teacher: Mr. R. </w:t>
            </w:r>
            <w:r w:rsidR="0063697E">
              <w:rPr>
                <w:sz w:val="24"/>
              </w:rPr>
              <w:t>de la Fuente</w:t>
            </w:r>
          </w:p>
          <w:p w:rsidR="00DD71F8" w:rsidRDefault="0063697E" w:rsidP="00DD71F8">
            <w:pPr>
              <w:jc w:val="right"/>
              <w:rPr>
                <w:sz w:val="24"/>
              </w:rPr>
            </w:pPr>
            <w:r>
              <w:rPr>
                <w:sz w:val="24"/>
              </w:rPr>
              <w:t>Room: 206</w:t>
            </w:r>
            <w:r w:rsidR="00DD71F8">
              <w:rPr>
                <w:sz w:val="24"/>
              </w:rPr>
              <w:t xml:space="preserve"> – SA</w:t>
            </w:r>
            <w:r w:rsidR="00DD71F8" w:rsidRPr="00F1403B">
              <w:rPr>
                <w:sz w:val="24"/>
                <w:vertAlign w:val="superscript"/>
              </w:rPr>
              <w:t>3</w:t>
            </w:r>
            <w:r w:rsidR="00DD71F8">
              <w:rPr>
                <w:sz w:val="24"/>
              </w:rPr>
              <w:t xml:space="preserve"> (200) Building</w:t>
            </w:r>
          </w:p>
          <w:p w:rsidR="00DD71F8" w:rsidRDefault="0063697E" w:rsidP="00DD71F8">
            <w:pPr>
              <w:jc w:val="right"/>
              <w:rPr>
                <w:sz w:val="24"/>
              </w:rPr>
            </w:pPr>
            <w:r>
              <w:rPr>
                <w:sz w:val="24"/>
              </w:rPr>
              <w:t>Phone: (956) 580-5300 ext. 1392</w:t>
            </w:r>
          </w:p>
          <w:p w:rsidR="003A6D0B" w:rsidRPr="003A6D0B" w:rsidRDefault="003A6D0B" w:rsidP="000C273F">
            <w:pPr>
              <w:jc w:val="right"/>
              <w:rPr>
                <w:u w:val="single"/>
              </w:rPr>
            </w:pPr>
            <w:bookmarkStart w:id="0" w:name="_GoBack"/>
            <w:bookmarkEnd w:id="0"/>
          </w:p>
        </w:tc>
      </w:tr>
      <w:tr w:rsidR="003A6D0B" w:rsidTr="00E538C7">
        <w:trPr>
          <w:trHeight w:val="171"/>
        </w:trPr>
        <w:tc>
          <w:tcPr>
            <w:tcW w:w="1746" w:type="dxa"/>
            <w:vAlign w:val="center"/>
          </w:tcPr>
          <w:p w:rsidR="003A6D0B" w:rsidRPr="003A6D0B" w:rsidRDefault="003A6D0B" w:rsidP="003A6D0B">
            <w:pPr>
              <w:rPr>
                <w:noProof/>
                <w:sz w:val="6"/>
                <w:szCs w:val="6"/>
              </w:rPr>
            </w:pPr>
          </w:p>
        </w:tc>
        <w:tc>
          <w:tcPr>
            <w:tcW w:w="4752" w:type="dxa"/>
            <w:vAlign w:val="center"/>
          </w:tcPr>
          <w:p w:rsidR="003A6D0B" w:rsidRPr="003A6D0B" w:rsidRDefault="003A6D0B" w:rsidP="00E30E79">
            <w:pPr>
              <w:rPr>
                <w:b/>
                <w:sz w:val="6"/>
                <w:szCs w:val="6"/>
              </w:rPr>
            </w:pPr>
          </w:p>
        </w:tc>
        <w:tc>
          <w:tcPr>
            <w:tcW w:w="4518" w:type="dxa"/>
            <w:vAlign w:val="center"/>
          </w:tcPr>
          <w:p w:rsidR="003A6D0B" w:rsidRPr="003A6D0B" w:rsidRDefault="003A6D0B" w:rsidP="00E30E79">
            <w:pPr>
              <w:jc w:val="right"/>
              <w:rPr>
                <w:sz w:val="6"/>
                <w:szCs w:val="6"/>
              </w:rPr>
            </w:pPr>
          </w:p>
        </w:tc>
      </w:tr>
    </w:tbl>
    <w:p w:rsidR="00E30E79" w:rsidRPr="003A6D0B" w:rsidRDefault="00E30E79" w:rsidP="00E30E79">
      <w:pPr>
        <w:spacing w:after="0"/>
        <w:rPr>
          <w:sz w:val="12"/>
          <w:szCs w:val="12"/>
        </w:rPr>
      </w:pPr>
    </w:p>
    <w:p w:rsidR="00E30E79" w:rsidRPr="00FC018A" w:rsidRDefault="003A6D0B" w:rsidP="00E30E79">
      <w:pPr>
        <w:spacing w:after="0"/>
        <w:rPr>
          <w:b/>
          <w:sz w:val="24"/>
          <w:u w:val="single"/>
        </w:rPr>
      </w:pPr>
      <w:r w:rsidRPr="00FC018A">
        <w:rPr>
          <w:b/>
          <w:sz w:val="24"/>
          <w:u w:val="single"/>
        </w:rPr>
        <w:t>Course Description:</w:t>
      </w:r>
    </w:p>
    <w:p w:rsidR="003A6D0B" w:rsidRDefault="003A6D0B" w:rsidP="003A6D0B">
      <w:pPr>
        <w:spacing w:after="0"/>
        <w:jc w:val="both"/>
        <w:rPr>
          <w:sz w:val="24"/>
          <w:szCs w:val="24"/>
          <w:shd w:val="clear" w:color="auto" w:fill="FFFFFF"/>
        </w:rPr>
      </w:pPr>
      <w:r w:rsidRPr="003A6D0B">
        <w:rPr>
          <w:sz w:val="24"/>
          <w:szCs w:val="24"/>
          <w:shd w:val="clear" w:color="auto" w:fill="FFFFFF"/>
        </w:rPr>
        <w:t xml:space="preserve">In World Geography Studies, students examine people, places, and environments. A significant portion of the course centers around the physical processes; the characteristics of major landforms, climates, and ecosystems and their interrelationships; the political, economic, and social processes that shape cultural patterns of regions; types and patterns of settlement; the distribution and movement of the world population; relationships among people, places, and environments; and the concept of region. </w:t>
      </w:r>
    </w:p>
    <w:p w:rsidR="003A6D0B" w:rsidRPr="003A6D0B" w:rsidRDefault="003A6D0B" w:rsidP="003A6D0B">
      <w:pPr>
        <w:spacing w:after="0"/>
        <w:jc w:val="both"/>
        <w:rPr>
          <w:sz w:val="12"/>
          <w:szCs w:val="12"/>
          <w:shd w:val="clear" w:color="auto" w:fill="FFFFFF"/>
        </w:rPr>
      </w:pPr>
    </w:p>
    <w:p w:rsidR="003A6D0B" w:rsidRPr="00FC018A" w:rsidRDefault="003A6D0B" w:rsidP="003A6D0B">
      <w:pPr>
        <w:spacing w:after="0"/>
        <w:jc w:val="both"/>
        <w:rPr>
          <w:b/>
          <w:sz w:val="24"/>
          <w:szCs w:val="24"/>
          <w:u w:val="single"/>
        </w:rPr>
      </w:pPr>
      <w:r w:rsidRPr="00FC018A">
        <w:rPr>
          <w:b/>
          <w:sz w:val="24"/>
          <w:szCs w:val="24"/>
          <w:u w:val="single"/>
        </w:rPr>
        <w:t>Course Agenda/Outline:</w:t>
      </w:r>
    </w:p>
    <w:p w:rsidR="008672FE" w:rsidRDefault="0063697E" w:rsidP="008672FE">
      <w:pPr>
        <w:spacing w:after="0"/>
        <w:jc w:val="both"/>
        <w:rPr>
          <w:b/>
          <w:sz w:val="20"/>
          <w:szCs w:val="20"/>
        </w:rPr>
      </w:pPr>
      <w:r>
        <w:rPr>
          <w:b/>
          <w:sz w:val="20"/>
          <w:szCs w:val="20"/>
        </w:rPr>
        <w:t>Week 1: 5 Themes of Geography</w:t>
      </w:r>
      <w:r>
        <w:rPr>
          <w:b/>
          <w:sz w:val="20"/>
          <w:szCs w:val="20"/>
        </w:rPr>
        <w:tab/>
      </w:r>
      <w:r w:rsidR="008672FE">
        <w:rPr>
          <w:b/>
          <w:sz w:val="20"/>
          <w:szCs w:val="20"/>
        </w:rPr>
        <w:tab/>
      </w:r>
      <w:r>
        <w:rPr>
          <w:b/>
          <w:sz w:val="20"/>
          <w:szCs w:val="20"/>
        </w:rPr>
        <w:t>Week 7: Europe</w:t>
      </w:r>
      <w:r>
        <w:rPr>
          <w:b/>
          <w:sz w:val="20"/>
          <w:szCs w:val="20"/>
        </w:rPr>
        <w:tab/>
      </w:r>
      <w:r>
        <w:rPr>
          <w:b/>
          <w:sz w:val="20"/>
          <w:szCs w:val="20"/>
        </w:rPr>
        <w:tab/>
      </w:r>
      <w:r>
        <w:rPr>
          <w:b/>
          <w:sz w:val="20"/>
          <w:szCs w:val="20"/>
        </w:rPr>
        <w:tab/>
      </w:r>
      <w:r w:rsidR="008672FE">
        <w:rPr>
          <w:b/>
          <w:sz w:val="20"/>
          <w:szCs w:val="20"/>
        </w:rPr>
        <w:tab/>
        <w:t>Week 13: South Asia</w:t>
      </w:r>
    </w:p>
    <w:p w:rsidR="008672FE" w:rsidRDefault="0063697E" w:rsidP="008672FE">
      <w:pPr>
        <w:spacing w:after="0"/>
        <w:jc w:val="both"/>
        <w:rPr>
          <w:b/>
          <w:sz w:val="20"/>
          <w:szCs w:val="20"/>
        </w:rPr>
      </w:pPr>
      <w:r>
        <w:rPr>
          <w:b/>
          <w:sz w:val="20"/>
          <w:szCs w:val="20"/>
        </w:rPr>
        <w:t>Week 2: A Living Planet</w:t>
      </w:r>
      <w:r>
        <w:rPr>
          <w:b/>
          <w:sz w:val="20"/>
          <w:szCs w:val="20"/>
        </w:rPr>
        <w:tab/>
      </w:r>
      <w:r>
        <w:rPr>
          <w:b/>
          <w:sz w:val="20"/>
          <w:szCs w:val="20"/>
        </w:rPr>
        <w:tab/>
      </w:r>
      <w:r w:rsidR="008672FE">
        <w:rPr>
          <w:b/>
          <w:sz w:val="20"/>
          <w:szCs w:val="20"/>
        </w:rPr>
        <w:tab/>
      </w:r>
      <w:r>
        <w:rPr>
          <w:b/>
          <w:sz w:val="20"/>
          <w:szCs w:val="20"/>
        </w:rPr>
        <w:t>Week 8: Russia and the Republics</w:t>
      </w:r>
      <w:r>
        <w:rPr>
          <w:b/>
          <w:sz w:val="20"/>
          <w:szCs w:val="20"/>
        </w:rPr>
        <w:tab/>
      </w:r>
      <w:r w:rsidR="008672FE">
        <w:rPr>
          <w:b/>
          <w:sz w:val="20"/>
          <w:szCs w:val="20"/>
        </w:rPr>
        <w:tab/>
        <w:t>Week 14: East Asia</w:t>
      </w:r>
    </w:p>
    <w:p w:rsidR="0063697E" w:rsidRPr="0063697E" w:rsidRDefault="0063697E" w:rsidP="003A6D0B">
      <w:pPr>
        <w:spacing w:after="0"/>
        <w:jc w:val="both"/>
        <w:rPr>
          <w:b/>
          <w:sz w:val="20"/>
          <w:szCs w:val="20"/>
        </w:rPr>
      </w:pPr>
      <w:r>
        <w:rPr>
          <w:b/>
          <w:sz w:val="20"/>
          <w:szCs w:val="20"/>
        </w:rPr>
        <w:t>Week 3: Climate and Vegetation</w:t>
      </w:r>
      <w:r>
        <w:rPr>
          <w:b/>
          <w:sz w:val="20"/>
          <w:szCs w:val="20"/>
        </w:rPr>
        <w:tab/>
      </w:r>
      <w:r w:rsidR="008672FE">
        <w:rPr>
          <w:b/>
          <w:sz w:val="20"/>
          <w:szCs w:val="20"/>
        </w:rPr>
        <w:tab/>
      </w:r>
      <w:r>
        <w:rPr>
          <w:b/>
          <w:sz w:val="20"/>
          <w:szCs w:val="20"/>
        </w:rPr>
        <w:t>Week 9: Africa</w:t>
      </w:r>
      <w:r>
        <w:rPr>
          <w:b/>
          <w:sz w:val="20"/>
          <w:szCs w:val="20"/>
        </w:rPr>
        <w:tab/>
      </w:r>
      <w:r>
        <w:rPr>
          <w:b/>
          <w:sz w:val="20"/>
          <w:szCs w:val="20"/>
        </w:rPr>
        <w:tab/>
      </w:r>
      <w:r>
        <w:rPr>
          <w:b/>
          <w:sz w:val="20"/>
          <w:szCs w:val="20"/>
        </w:rPr>
        <w:tab/>
      </w:r>
      <w:r>
        <w:rPr>
          <w:b/>
          <w:sz w:val="20"/>
          <w:szCs w:val="20"/>
        </w:rPr>
        <w:tab/>
      </w:r>
      <w:r w:rsidR="008672FE">
        <w:rPr>
          <w:b/>
          <w:sz w:val="20"/>
          <w:szCs w:val="20"/>
        </w:rPr>
        <w:t>Week 15: Exam week</w:t>
      </w:r>
    </w:p>
    <w:p w:rsidR="008672FE" w:rsidRDefault="0063697E" w:rsidP="008672FE">
      <w:pPr>
        <w:spacing w:after="0"/>
        <w:rPr>
          <w:b/>
          <w:sz w:val="16"/>
          <w:szCs w:val="16"/>
        </w:rPr>
      </w:pPr>
      <w:r>
        <w:rPr>
          <w:b/>
          <w:sz w:val="20"/>
          <w:szCs w:val="20"/>
        </w:rPr>
        <w:t>Week 4: Human Geography</w:t>
      </w:r>
      <w:r>
        <w:rPr>
          <w:b/>
          <w:sz w:val="20"/>
          <w:szCs w:val="20"/>
        </w:rPr>
        <w:tab/>
      </w:r>
      <w:r w:rsidR="008672FE">
        <w:rPr>
          <w:b/>
          <w:sz w:val="20"/>
          <w:szCs w:val="20"/>
        </w:rPr>
        <w:tab/>
      </w:r>
      <w:r>
        <w:rPr>
          <w:b/>
          <w:sz w:val="20"/>
          <w:szCs w:val="20"/>
        </w:rPr>
        <w:t>Week 10: Africa</w:t>
      </w:r>
      <w:r>
        <w:rPr>
          <w:b/>
          <w:sz w:val="20"/>
          <w:szCs w:val="20"/>
        </w:rPr>
        <w:tab/>
      </w:r>
      <w:r>
        <w:rPr>
          <w:b/>
          <w:sz w:val="20"/>
          <w:szCs w:val="20"/>
        </w:rPr>
        <w:tab/>
      </w:r>
      <w:r>
        <w:rPr>
          <w:b/>
          <w:sz w:val="20"/>
          <w:szCs w:val="20"/>
        </w:rPr>
        <w:tab/>
        <w:t xml:space="preserve"> </w:t>
      </w:r>
      <w:r w:rsidR="008672FE">
        <w:rPr>
          <w:b/>
          <w:sz w:val="20"/>
          <w:szCs w:val="20"/>
        </w:rPr>
        <w:tab/>
        <w:t xml:space="preserve">Week 16: </w:t>
      </w:r>
      <w:r w:rsidR="008672FE" w:rsidRPr="008672FE">
        <w:rPr>
          <w:b/>
          <w:sz w:val="16"/>
          <w:szCs w:val="16"/>
        </w:rPr>
        <w:t>Southeast Asia, Oceania and Antarctica</w:t>
      </w:r>
    </w:p>
    <w:p w:rsidR="008672FE" w:rsidRDefault="008672FE" w:rsidP="008672FE">
      <w:pPr>
        <w:spacing w:after="0"/>
        <w:rPr>
          <w:b/>
          <w:sz w:val="16"/>
          <w:szCs w:val="16"/>
        </w:rPr>
      </w:pPr>
      <w:r>
        <w:rPr>
          <w:b/>
          <w:sz w:val="20"/>
          <w:szCs w:val="20"/>
        </w:rPr>
        <w:t xml:space="preserve">Week 5: United States and Canada </w:t>
      </w:r>
      <w:r>
        <w:rPr>
          <w:b/>
          <w:sz w:val="20"/>
          <w:szCs w:val="20"/>
        </w:rPr>
        <w:tab/>
        <w:t>Week 11: Southwest Asia</w:t>
      </w:r>
      <w:r>
        <w:rPr>
          <w:b/>
          <w:sz w:val="20"/>
          <w:szCs w:val="20"/>
        </w:rPr>
        <w:tab/>
      </w:r>
      <w:r>
        <w:rPr>
          <w:b/>
          <w:sz w:val="20"/>
          <w:szCs w:val="20"/>
        </w:rPr>
        <w:tab/>
      </w:r>
      <w:r>
        <w:rPr>
          <w:b/>
          <w:sz w:val="20"/>
          <w:szCs w:val="20"/>
        </w:rPr>
        <w:tab/>
        <w:t>Week 17: Final Review</w:t>
      </w:r>
    </w:p>
    <w:p w:rsidR="008672FE" w:rsidRPr="008672FE" w:rsidRDefault="0063697E" w:rsidP="008672FE">
      <w:pPr>
        <w:spacing w:after="0"/>
        <w:rPr>
          <w:b/>
          <w:sz w:val="16"/>
          <w:szCs w:val="16"/>
        </w:rPr>
      </w:pPr>
      <w:r>
        <w:rPr>
          <w:b/>
          <w:sz w:val="20"/>
          <w:szCs w:val="20"/>
        </w:rPr>
        <w:t>Week 6: Latin America</w:t>
      </w:r>
      <w:r w:rsidR="008672FE">
        <w:rPr>
          <w:b/>
          <w:sz w:val="20"/>
          <w:szCs w:val="20"/>
        </w:rPr>
        <w:tab/>
      </w:r>
      <w:r w:rsidR="008672FE">
        <w:rPr>
          <w:b/>
          <w:sz w:val="20"/>
          <w:szCs w:val="20"/>
        </w:rPr>
        <w:tab/>
      </w:r>
      <w:r w:rsidR="008672FE">
        <w:rPr>
          <w:b/>
          <w:sz w:val="20"/>
          <w:szCs w:val="20"/>
        </w:rPr>
        <w:tab/>
        <w:t>Week 12: South Asia</w:t>
      </w:r>
      <w:r w:rsidR="008672FE">
        <w:rPr>
          <w:b/>
          <w:sz w:val="20"/>
          <w:szCs w:val="20"/>
        </w:rPr>
        <w:tab/>
      </w:r>
      <w:r w:rsidR="008672FE">
        <w:rPr>
          <w:b/>
          <w:sz w:val="20"/>
          <w:szCs w:val="20"/>
        </w:rPr>
        <w:tab/>
      </w:r>
      <w:r w:rsidR="008672FE">
        <w:rPr>
          <w:b/>
          <w:sz w:val="20"/>
          <w:szCs w:val="20"/>
        </w:rPr>
        <w:tab/>
        <w:t>Week 18: Exams</w:t>
      </w:r>
    </w:p>
    <w:p w:rsidR="008672FE" w:rsidRDefault="008672FE" w:rsidP="008672FE">
      <w:pPr>
        <w:spacing w:after="0"/>
        <w:jc w:val="both"/>
        <w:rPr>
          <w:b/>
          <w:sz w:val="20"/>
          <w:szCs w:val="20"/>
        </w:rPr>
      </w:pPr>
      <w:r>
        <w:rPr>
          <w:b/>
          <w:sz w:val="20"/>
          <w:szCs w:val="20"/>
        </w:rPr>
        <w:tab/>
      </w:r>
    </w:p>
    <w:p w:rsidR="0024431F" w:rsidRDefault="0024431F" w:rsidP="0024431F">
      <w:pPr>
        <w:spacing w:after="0"/>
        <w:jc w:val="both"/>
        <w:rPr>
          <w:b/>
          <w:sz w:val="24"/>
          <w:szCs w:val="24"/>
          <w:u w:val="single"/>
        </w:rPr>
      </w:pPr>
      <w:r>
        <w:rPr>
          <w:b/>
          <w:sz w:val="24"/>
          <w:szCs w:val="24"/>
          <w:u w:val="single"/>
        </w:rPr>
        <w:t>Course Supplies:</w:t>
      </w:r>
    </w:p>
    <w:p w:rsidR="00FC018A" w:rsidRDefault="0063697E" w:rsidP="003A6D0B">
      <w:pPr>
        <w:spacing w:after="0"/>
        <w:jc w:val="both"/>
        <w:rPr>
          <w:sz w:val="24"/>
          <w:szCs w:val="24"/>
        </w:rPr>
      </w:pPr>
      <w:r>
        <w:rPr>
          <w:sz w:val="24"/>
          <w:szCs w:val="24"/>
        </w:rPr>
        <w:t>Pencils</w:t>
      </w:r>
    </w:p>
    <w:p w:rsidR="0063697E" w:rsidRDefault="0063697E" w:rsidP="003A6D0B">
      <w:pPr>
        <w:spacing w:after="0"/>
        <w:jc w:val="both"/>
        <w:rPr>
          <w:sz w:val="24"/>
          <w:szCs w:val="24"/>
        </w:rPr>
      </w:pPr>
      <w:r>
        <w:rPr>
          <w:sz w:val="24"/>
          <w:szCs w:val="24"/>
        </w:rPr>
        <w:t>Pens</w:t>
      </w:r>
    </w:p>
    <w:p w:rsidR="0063697E" w:rsidRPr="0063697E" w:rsidRDefault="0063697E" w:rsidP="003A6D0B">
      <w:pPr>
        <w:spacing w:after="0"/>
        <w:jc w:val="both"/>
        <w:rPr>
          <w:sz w:val="24"/>
          <w:szCs w:val="24"/>
        </w:rPr>
      </w:pPr>
      <w:r>
        <w:rPr>
          <w:sz w:val="24"/>
          <w:szCs w:val="24"/>
        </w:rPr>
        <w:t>BYOD</w:t>
      </w:r>
    </w:p>
    <w:p w:rsidR="0063697E" w:rsidRDefault="0063697E" w:rsidP="003A6D0B">
      <w:pPr>
        <w:spacing w:after="0"/>
        <w:jc w:val="both"/>
        <w:rPr>
          <w:b/>
          <w:sz w:val="6"/>
          <w:szCs w:val="6"/>
        </w:rPr>
      </w:pPr>
    </w:p>
    <w:p w:rsidR="0063697E" w:rsidRPr="00D62EAD" w:rsidRDefault="0063697E" w:rsidP="003A6D0B">
      <w:pPr>
        <w:spacing w:after="0"/>
        <w:jc w:val="both"/>
        <w:rPr>
          <w:b/>
          <w:sz w:val="12"/>
          <w:szCs w:val="12"/>
        </w:rPr>
      </w:pPr>
    </w:p>
    <w:p w:rsidR="00D62EAD" w:rsidRDefault="00D62EAD" w:rsidP="003A6D0B">
      <w:pPr>
        <w:spacing w:after="0"/>
        <w:jc w:val="both"/>
        <w:rPr>
          <w:b/>
          <w:sz w:val="24"/>
          <w:szCs w:val="24"/>
          <w:u w:val="single"/>
        </w:rPr>
      </w:pPr>
      <w:r w:rsidRPr="00FC018A">
        <w:rPr>
          <w:b/>
          <w:sz w:val="24"/>
          <w:szCs w:val="24"/>
          <w:u w:val="single"/>
        </w:rPr>
        <w:t>Classroom Rules:</w:t>
      </w:r>
    </w:p>
    <w:p w:rsidR="00DD71F8" w:rsidRPr="00FC018A" w:rsidRDefault="00DD71F8" w:rsidP="00FA443C">
      <w:pPr>
        <w:pStyle w:val="ListParagraph"/>
        <w:numPr>
          <w:ilvl w:val="0"/>
          <w:numId w:val="3"/>
        </w:numPr>
        <w:spacing w:after="0"/>
        <w:ind w:left="360"/>
        <w:jc w:val="both"/>
        <w:rPr>
          <w:b/>
          <w:sz w:val="24"/>
          <w:szCs w:val="24"/>
          <w:u w:val="single"/>
        </w:rPr>
      </w:pPr>
      <w:r>
        <w:rPr>
          <w:sz w:val="24"/>
          <w:szCs w:val="24"/>
        </w:rPr>
        <w:t>Arrive to class on time and be in your assign seat when the bell rings.</w:t>
      </w:r>
    </w:p>
    <w:p w:rsidR="00DD71F8" w:rsidRPr="00FC018A" w:rsidRDefault="00DD71F8" w:rsidP="00FA443C">
      <w:pPr>
        <w:pStyle w:val="ListParagraph"/>
        <w:numPr>
          <w:ilvl w:val="0"/>
          <w:numId w:val="3"/>
        </w:numPr>
        <w:spacing w:after="0"/>
        <w:ind w:left="360"/>
        <w:jc w:val="both"/>
        <w:rPr>
          <w:b/>
          <w:sz w:val="24"/>
          <w:szCs w:val="24"/>
          <w:u w:val="single"/>
        </w:rPr>
      </w:pPr>
      <w:r>
        <w:rPr>
          <w:sz w:val="24"/>
          <w:szCs w:val="24"/>
        </w:rPr>
        <w:t xml:space="preserve">Be prepared to class with all your supplies and assignments. </w:t>
      </w:r>
      <w:r w:rsidRPr="000F6A08">
        <w:rPr>
          <w:sz w:val="24"/>
          <w:szCs w:val="24"/>
          <w:u w:val="single"/>
        </w:rPr>
        <w:t>(Sharpen Your Pencils Before the Bell)</w:t>
      </w:r>
    </w:p>
    <w:p w:rsidR="00DD71F8" w:rsidRPr="00FC018A" w:rsidRDefault="00DD71F8" w:rsidP="00FA443C">
      <w:pPr>
        <w:pStyle w:val="ListParagraph"/>
        <w:numPr>
          <w:ilvl w:val="0"/>
          <w:numId w:val="3"/>
        </w:numPr>
        <w:spacing w:after="0"/>
        <w:ind w:left="360"/>
        <w:jc w:val="both"/>
        <w:rPr>
          <w:b/>
          <w:sz w:val="24"/>
          <w:szCs w:val="24"/>
          <w:u w:val="single"/>
        </w:rPr>
      </w:pPr>
      <w:r>
        <w:rPr>
          <w:sz w:val="24"/>
        </w:rPr>
        <w:t xml:space="preserve">Respect others and their property. </w:t>
      </w:r>
      <w:r>
        <w:rPr>
          <w:sz w:val="24"/>
          <w:u w:val="single"/>
        </w:rPr>
        <w:t xml:space="preserve">(Clean Up </w:t>
      </w:r>
      <w:r w:rsidRPr="000F6A08">
        <w:rPr>
          <w:sz w:val="24"/>
          <w:u w:val="single"/>
        </w:rPr>
        <w:t>After Yourself &amp; Put Away Textbooks)</w:t>
      </w:r>
    </w:p>
    <w:p w:rsidR="00DD71F8" w:rsidRPr="00FC018A" w:rsidRDefault="00DD71F8" w:rsidP="00FA443C">
      <w:pPr>
        <w:pStyle w:val="ListParagraph"/>
        <w:numPr>
          <w:ilvl w:val="0"/>
          <w:numId w:val="3"/>
        </w:numPr>
        <w:spacing w:after="0"/>
        <w:ind w:left="360"/>
        <w:jc w:val="both"/>
        <w:rPr>
          <w:b/>
          <w:sz w:val="24"/>
          <w:szCs w:val="24"/>
          <w:u w:val="single"/>
        </w:rPr>
      </w:pPr>
      <w:r>
        <w:rPr>
          <w:sz w:val="24"/>
        </w:rPr>
        <w:t xml:space="preserve">Wait until the teacher dismisses you. The bell does </w:t>
      </w:r>
      <w:r w:rsidRPr="000F6A08">
        <w:rPr>
          <w:b/>
          <w:sz w:val="24"/>
          <w:u w:val="single"/>
        </w:rPr>
        <w:t>NOT</w:t>
      </w:r>
      <w:r>
        <w:rPr>
          <w:sz w:val="24"/>
        </w:rPr>
        <w:t xml:space="preserve"> dismiss you.</w:t>
      </w:r>
    </w:p>
    <w:p w:rsidR="00DD71F8" w:rsidRPr="00A67ABB" w:rsidRDefault="00DD71F8" w:rsidP="00FA443C">
      <w:pPr>
        <w:pStyle w:val="ListParagraph"/>
        <w:numPr>
          <w:ilvl w:val="0"/>
          <w:numId w:val="3"/>
        </w:numPr>
        <w:spacing w:after="0"/>
        <w:ind w:left="360"/>
        <w:jc w:val="both"/>
        <w:rPr>
          <w:b/>
          <w:sz w:val="24"/>
          <w:szCs w:val="24"/>
          <w:u w:val="single"/>
        </w:rPr>
      </w:pPr>
      <w:r>
        <w:rPr>
          <w:sz w:val="24"/>
        </w:rPr>
        <w:t>Raise your hand or wait politely to speak, if others are speaking.</w:t>
      </w:r>
    </w:p>
    <w:p w:rsidR="003C1ABA" w:rsidRPr="003C1ABA" w:rsidRDefault="003C1ABA" w:rsidP="003C1ABA">
      <w:pPr>
        <w:spacing w:after="0"/>
        <w:jc w:val="both"/>
        <w:rPr>
          <w:b/>
          <w:sz w:val="12"/>
          <w:szCs w:val="12"/>
          <w:u w:val="single"/>
        </w:rPr>
      </w:pPr>
    </w:p>
    <w:p w:rsidR="003C1ABA" w:rsidRDefault="003C1ABA" w:rsidP="003C1ABA">
      <w:pPr>
        <w:spacing w:after="0"/>
        <w:jc w:val="both"/>
        <w:rPr>
          <w:b/>
          <w:sz w:val="24"/>
          <w:szCs w:val="24"/>
          <w:u w:val="single"/>
        </w:rPr>
      </w:pPr>
      <w:r>
        <w:rPr>
          <w:b/>
          <w:sz w:val="24"/>
          <w:szCs w:val="24"/>
          <w:u w:val="single"/>
        </w:rPr>
        <w:t>Classroom Procedures:</w:t>
      </w:r>
    </w:p>
    <w:p w:rsidR="0024431F" w:rsidRPr="0024431F" w:rsidRDefault="0024431F" w:rsidP="00FA443C">
      <w:pPr>
        <w:pStyle w:val="ListParagraph"/>
        <w:numPr>
          <w:ilvl w:val="0"/>
          <w:numId w:val="4"/>
        </w:numPr>
        <w:spacing w:after="0"/>
        <w:ind w:left="360"/>
        <w:jc w:val="both"/>
        <w:rPr>
          <w:sz w:val="24"/>
          <w:szCs w:val="24"/>
        </w:rPr>
      </w:pPr>
      <w:r>
        <w:rPr>
          <w:sz w:val="24"/>
        </w:rPr>
        <w:t xml:space="preserve">Class resources can be accessed off the course’s </w:t>
      </w:r>
      <w:r w:rsidR="0063697E">
        <w:rPr>
          <w:sz w:val="24"/>
        </w:rPr>
        <w:t>google classroom site</w:t>
      </w:r>
    </w:p>
    <w:p w:rsidR="003C1ABA" w:rsidRDefault="003C1ABA" w:rsidP="00FA443C">
      <w:pPr>
        <w:pStyle w:val="ListParagraph"/>
        <w:numPr>
          <w:ilvl w:val="0"/>
          <w:numId w:val="4"/>
        </w:numPr>
        <w:spacing w:after="0"/>
        <w:ind w:left="360"/>
        <w:jc w:val="both"/>
        <w:rPr>
          <w:sz w:val="24"/>
          <w:szCs w:val="24"/>
        </w:rPr>
      </w:pPr>
      <w:r>
        <w:rPr>
          <w:sz w:val="24"/>
          <w:szCs w:val="24"/>
        </w:rPr>
        <w:t>Assignments can be turned in on paper in class by the end of the</w:t>
      </w:r>
      <w:r w:rsidR="0063697E">
        <w:rPr>
          <w:sz w:val="24"/>
          <w:szCs w:val="24"/>
        </w:rPr>
        <w:t xml:space="preserve"> school day or online through google classroom</w:t>
      </w:r>
    </w:p>
    <w:p w:rsidR="003C1ABA" w:rsidRDefault="003C1ABA" w:rsidP="00FA443C">
      <w:pPr>
        <w:pStyle w:val="ListParagraph"/>
        <w:numPr>
          <w:ilvl w:val="0"/>
          <w:numId w:val="4"/>
        </w:numPr>
        <w:spacing w:after="0"/>
        <w:ind w:left="360"/>
        <w:jc w:val="both"/>
        <w:rPr>
          <w:sz w:val="24"/>
          <w:szCs w:val="24"/>
        </w:rPr>
      </w:pPr>
      <w:r>
        <w:rPr>
          <w:sz w:val="24"/>
          <w:szCs w:val="24"/>
        </w:rPr>
        <w:t xml:space="preserve">Teacher permission and a hall pass are </w:t>
      </w:r>
      <w:r w:rsidRPr="00E538C7">
        <w:rPr>
          <w:b/>
          <w:sz w:val="24"/>
          <w:szCs w:val="24"/>
          <w:u w:val="single"/>
        </w:rPr>
        <w:t>required</w:t>
      </w:r>
      <w:r>
        <w:rPr>
          <w:sz w:val="24"/>
          <w:szCs w:val="24"/>
        </w:rPr>
        <w:t xml:space="preserve"> to leave the classroom.</w:t>
      </w:r>
    </w:p>
    <w:p w:rsidR="003C1ABA" w:rsidRPr="00521E74" w:rsidRDefault="003C1ABA" w:rsidP="003C1ABA">
      <w:pPr>
        <w:spacing w:after="0"/>
        <w:jc w:val="both"/>
        <w:rPr>
          <w:sz w:val="12"/>
          <w:szCs w:val="12"/>
        </w:rPr>
      </w:pPr>
    </w:p>
    <w:p w:rsidR="00521E74" w:rsidRDefault="00521E74" w:rsidP="003C1ABA">
      <w:pPr>
        <w:spacing w:after="0"/>
        <w:jc w:val="both"/>
        <w:rPr>
          <w:b/>
          <w:sz w:val="24"/>
          <w:szCs w:val="24"/>
          <w:u w:val="single"/>
        </w:rPr>
      </w:pPr>
      <w:r>
        <w:rPr>
          <w:b/>
          <w:sz w:val="24"/>
          <w:szCs w:val="24"/>
          <w:u w:val="single"/>
        </w:rPr>
        <w:t>Contact Information:</w:t>
      </w:r>
    </w:p>
    <w:p w:rsidR="00521E74" w:rsidRDefault="00521E74" w:rsidP="003C1ABA">
      <w:pPr>
        <w:spacing w:after="0"/>
        <w:jc w:val="both"/>
        <w:rPr>
          <w:sz w:val="24"/>
        </w:rPr>
      </w:pPr>
      <w:r>
        <w:rPr>
          <w:sz w:val="24"/>
        </w:rPr>
        <w:t>Tutorials, conferences, and office hours are available afterschool or by appointment. Prior arrangements or appointments are preferred.</w:t>
      </w:r>
    </w:p>
    <w:p w:rsidR="00521E74" w:rsidRPr="00521E74" w:rsidRDefault="00521E74" w:rsidP="003C1ABA">
      <w:pPr>
        <w:spacing w:after="0"/>
        <w:jc w:val="both"/>
        <w:rPr>
          <w:sz w:val="6"/>
          <w:szCs w:val="6"/>
        </w:rPr>
      </w:pPr>
    </w:p>
    <w:p w:rsidR="0024431F" w:rsidRDefault="00521E74" w:rsidP="0024431F">
      <w:pPr>
        <w:spacing w:after="0"/>
        <w:jc w:val="center"/>
        <w:rPr>
          <w:sz w:val="24"/>
          <w:u w:val="single"/>
        </w:rPr>
      </w:pPr>
      <w:r w:rsidRPr="00521E74">
        <w:rPr>
          <w:b/>
          <w:sz w:val="24"/>
        </w:rPr>
        <w:t>Direct Extension:</w:t>
      </w:r>
      <w:r w:rsidR="0063697E">
        <w:rPr>
          <w:sz w:val="24"/>
        </w:rPr>
        <w:t xml:space="preserve"> (956) 580-5300 ext. 1392</w:t>
      </w:r>
      <w:r>
        <w:rPr>
          <w:sz w:val="24"/>
        </w:rPr>
        <w:tab/>
      </w:r>
      <w:r>
        <w:rPr>
          <w:sz w:val="24"/>
        </w:rPr>
        <w:tab/>
      </w:r>
      <w:r>
        <w:rPr>
          <w:sz w:val="24"/>
        </w:rPr>
        <w:tab/>
      </w:r>
      <w:r w:rsidRPr="00521E74">
        <w:rPr>
          <w:b/>
          <w:sz w:val="24"/>
        </w:rPr>
        <w:t>E-mail:</w:t>
      </w:r>
      <w:r>
        <w:rPr>
          <w:sz w:val="24"/>
        </w:rPr>
        <w:t xml:space="preserve"> </w:t>
      </w:r>
      <w:r w:rsidR="002D1166">
        <w:rPr>
          <w:sz w:val="24"/>
        </w:rPr>
        <w:t>robertdelafuente@sharylandisd.org</w:t>
      </w:r>
    </w:p>
    <w:p w:rsidR="008672FE" w:rsidRDefault="008672FE" w:rsidP="0024431F">
      <w:pPr>
        <w:spacing w:after="0"/>
        <w:rPr>
          <w:b/>
          <w:sz w:val="24"/>
          <w:u w:val="single"/>
        </w:rPr>
      </w:pPr>
    </w:p>
    <w:p w:rsidR="008672FE" w:rsidRDefault="008672FE" w:rsidP="0024431F">
      <w:pPr>
        <w:spacing w:after="0"/>
        <w:rPr>
          <w:b/>
          <w:sz w:val="24"/>
          <w:u w:val="single"/>
        </w:rPr>
      </w:pPr>
    </w:p>
    <w:p w:rsidR="008672FE" w:rsidRDefault="008672FE" w:rsidP="0024431F">
      <w:pPr>
        <w:spacing w:after="0"/>
        <w:rPr>
          <w:b/>
          <w:sz w:val="24"/>
          <w:u w:val="single"/>
        </w:rPr>
      </w:pPr>
    </w:p>
    <w:p w:rsidR="0024431F" w:rsidRDefault="0024431F" w:rsidP="0024431F">
      <w:pPr>
        <w:spacing w:after="0"/>
        <w:rPr>
          <w:b/>
          <w:sz w:val="24"/>
          <w:u w:val="single"/>
        </w:rPr>
      </w:pPr>
      <w:r>
        <w:rPr>
          <w:b/>
          <w:sz w:val="24"/>
          <w:u w:val="single"/>
        </w:rPr>
        <w:lastRenderedPageBreak/>
        <w:t>Chapter &amp; Bi-Weekly Assignments:</w:t>
      </w:r>
    </w:p>
    <w:p w:rsidR="0024431F" w:rsidRDefault="0024431F" w:rsidP="00FA443C">
      <w:pPr>
        <w:pStyle w:val="ListParagraph"/>
        <w:numPr>
          <w:ilvl w:val="0"/>
          <w:numId w:val="9"/>
        </w:numPr>
        <w:spacing w:after="0"/>
        <w:ind w:left="360"/>
        <w:jc w:val="both"/>
        <w:rPr>
          <w:sz w:val="24"/>
        </w:rPr>
      </w:pPr>
      <w:r>
        <w:rPr>
          <w:i/>
          <w:sz w:val="24"/>
        </w:rPr>
        <w:t xml:space="preserve">Regional Atlas &amp; Guided Reading Activities </w:t>
      </w:r>
      <w:r>
        <w:rPr>
          <w:sz w:val="24"/>
        </w:rPr>
        <w:t>– Students will be assigned a Regional Atlas Map and Guided Reading Activity related to the atlas from their workbook on a bi-weekly basis. The activity will be assigned on a Monday and be due two weeks from that date.</w:t>
      </w:r>
    </w:p>
    <w:p w:rsidR="0024431F" w:rsidRPr="0024431F" w:rsidRDefault="008672FE" w:rsidP="00FA443C">
      <w:pPr>
        <w:pStyle w:val="ListParagraph"/>
        <w:numPr>
          <w:ilvl w:val="0"/>
          <w:numId w:val="10"/>
        </w:numPr>
        <w:spacing w:after="0"/>
        <w:ind w:left="360"/>
        <w:jc w:val="both"/>
        <w:rPr>
          <w:sz w:val="24"/>
        </w:rPr>
      </w:pPr>
      <w:r>
        <w:rPr>
          <w:i/>
          <w:sz w:val="24"/>
        </w:rPr>
        <w:t>Interactive Notebook</w:t>
      </w:r>
      <w:r w:rsidR="0024431F">
        <w:rPr>
          <w:sz w:val="24"/>
        </w:rPr>
        <w:t xml:space="preserve"> – Students will need to keep </w:t>
      </w:r>
      <w:proofErr w:type="gramStart"/>
      <w:r w:rsidR="0024431F">
        <w:rPr>
          <w:sz w:val="24"/>
        </w:rPr>
        <w:t>a</w:t>
      </w:r>
      <w:proofErr w:type="gramEnd"/>
      <w:r w:rsidR="0024431F">
        <w:rPr>
          <w:sz w:val="24"/>
        </w:rPr>
        <w:t xml:space="preserve"> </w:t>
      </w:r>
      <w:r>
        <w:rPr>
          <w:sz w:val="24"/>
        </w:rPr>
        <w:t>updated google site</w:t>
      </w:r>
      <w:r w:rsidR="0024431F">
        <w:rPr>
          <w:sz w:val="24"/>
        </w:rPr>
        <w:t xml:space="preserve"> they will create the first week in the course. For each chapter we complete, the student will sketch a collage of drawings, word cloud, or concept map </w:t>
      </w:r>
      <w:r w:rsidR="00FA443C">
        <w:rPr>
          <w:sz w:val="24"/>
        </w:rPr>
        <w:t>related</w:t>
      </w:r>
      <w:r w:rsidR="0024431F">
        <w:rPr>
          <w:sz w:val="24"/>
        </w:rPr>
        <w:t xml:space="preserve"> </w:t>
      </w:r>
      <w:r w:rsidR="00FA443C">
        <w:rPr>
          <w:sz w:val="24"/>
        </w:rPr>
        <w:t xml:space="preserve">to the topics in that chapter. </w:t>
      </w:r>
    </w:p>
    <w:p w:rsidR="0024431F" w:rsidRPr="0024431F" w:rsidRDefault="0024431F" w:rsidP="0024431F">
      <w:pPr>
        <w:spacing w:after="0"/>
        <w:jc w:val="both"/>
        <w:rPr>
          <w:b/>
          <w:sz w:val="12"/>
          <w:szCs w:val="12"/>
          <w:u w:val="single"/>
        </w:rPr>
      </w:pPr>
    </w:p>
    <w:p w:rsidR="00521E74" w:rsidRPr="0024431F" w:rsidRDefault="00521E74" w:rsidP="0024431F">
      <w:pPr>
        <w:spacing w:after="0"/>
        <w:jc w:val="both"/>
        <w:rPr>
          <w:sz w:val="24"/>
        </w:rPr>
      </w:pPr>
      <w:r w:rsidRPr="0024431F">
        <w:rPr>
          <w:b/>
          <w:sz w:val="24"/>
          <w:u w:val="single"/>
        </w:rPr>
        <w:t>Course Grading Policy:</w:t>
      </w:r>
    </w:p>
    <w:p w:rsidR="00521E74" w:rsidRDefault="00521E74" w:rsidP="00FB7D85">
      <w:pPr>
        <w:spacing w:after="0"/>
        <w:rPr>
          <w:sz w:val="24"/>
        </w:rPr>
      </w:pPr>
      <w:r>
        <w:rPr>
          <w:sz w:val="24"/>
        </w:rPr>
        <w:t>The grading scale for the course is as follows:</w:t>
      </w:r>
    </w:p>
    <w:p w:rsidR="00FB7D85" w:rsidRPr="00FB7D85" w:rsidRDefault="00FB7D85" w:rsidP="00FB7D85">
      <w:pPr>
        <w:spacing w:after="0"/>
        <w:rPr>
          <w:sz w:val="6"/>
          <w:szCs w:val="6"/>
        </w:rPr>
      </w:pPr>
    </w:p>
    <w:tbl>
      <w:tblPr>
        <w:tblStyle w:val="TableGrid"/>
        <w:tblW w:w="0" w:type="auto"/>
        <w:tblInd w:w="979" w:type="dxa"/>
        <w:tblLayout w:type="fixed"/>
        <w:tblLook w:val="04A0" w:firstRow="1" w:lastRow="0" w:firstColumn="1" w:lastColumn="0" w:noHBand="0" w:noVBand="1"/>
      </w:tblPr>
      <w:tblGrid>
        <w:gridCol w:w="4410"/>
        <w:gridCol w:w="1080"/>
      </w:tblGrid>
      <w:tr w:rsidR="00FB7D85" w:rsidTr="00817867">
        <w:tc>
          <w:tcPr>
            <w:tcW w:w="5490" w:type="dxa"/>
            <w:gridSpan w:val="2"/>
            <w:shd w:val="clear" w:color="auto" w:fill="D9D9D9" w:themeFill="background1" w:themeFillShade="D9"/>
            <w:vAlign w:val="center"/>
          </w:tcPr>
          <w:p w:rsidR="00FB7D85" w:rsidRPr="00FB7D85" w:rsidRDefault="00FB7D85" w:rsidP="00FB7D85">
            <w:pPr>
              <w:jc w:val="center"/>
              <w:rPr>
                <w:b/>
                <w:sz w:val="24"/>
              </w:rPr>
            </w:pPr>
            <w:r w:rsidRPr="00FB7D85">
              <w:rPr>
                <w:b/>
                <w:sz w:val="24"/>
              </w:rPr>
              <w:t>Class Assignment Grade Weighs</w:t>
            </w:r>
          </w:p>
        </w:tc>
      </w:tr>
      <w:tr w:rsidR="00FB7D85" w:rsidTr="00817867">
        <w:tc>
          <w:tcPr>
            <w:tcW w:w="4410" w:type="dxa"/>
            <w:vAlign w:val="center"/>
          </w:tcPr>
          <w:p w:rsidR="00FB7D85" w:rsidRPr="00FB7D85" w:rsidRDefault="00FB7D85" w:rsidP="00FB7D85">
            <w:pPr>
              <w:jc w:val="center"/>
              <w:rPr>
                <w:i/>
                <w:sz w:val="24"/>
              </w:rPr>
            </w:pPr>
            <w:r w:rsidRPr="00FB7D85">
              <w:rPr>
                <w:b/>
                <w:sz w:val="24"/>
              </w:rPr>
              <w:t>Daily Assignments</w:t>
            </w:r>
            <w:r>
              <w:rPr>
                <w:sz w:val="24"/>
              </w:rPr>
              <w:t xml:space="preserve">: </w:t>
            </w:r>
            <w:r>
              <w:rPr>
                <w:i/>
                <w:sz w:val="24"/>
              </w:rPr>
              <w:t>Handouts, Vocabulary, Study Island, Activities, Homework, Etc.</w:t>
            </w:r>
          </w:p>
        </w:tc>
        <w:tc>
          <w:tcPr>
            <w:tcW w:w="1080" w:type="dxa"/>
            <w:vAlign w:val="center"/>
          </w:tcPr>
          <w:p w:rsidR="00FB7D85" w:rsidRPr="00FB7D85" w:rsidRDefault="00FB7D85" w:rsidP="00FB7D85">
            <w:pPr>
              <w:jc w:val="center"/>
              <w:rPr>
                <w:b/>
                <w:sz w:val="24"/>
              </w:rPr>
            </w:pPr>
            <w:r w:rsidRPr="00FB7D85">
              <w:rPr>
                <w:b/>
                <w:sz w:val="24"/>
              </w:rPr>
              <w:t>40 %</w:t>
            </w:r>
          </w:p>
        </w:tc>
      </w:tr>
      <w:tr w:rsidR="00FB7D85" w:rsidTr="00817867">
        <w:trPr>
          <w:trHeight w:val="566"/>
        </w:trPr>
        <w:tc>
          <w:tcPr>
            <w:tcW w:w="4410" w:type="dxa"/>
            <w:vAlign w:val="center"/>
          </w:tcPr>
          <w:p w:rsidR="00FB7D85" w:rsidRPr="00FB7D85" w:rsidRDefault="00FB7D85" w:rsidP="00FB7D85">
            <w:pPr>
              <w:jc w:val="center"/>
              <w:rPr>
                <w:b/>
                <w:sz w:val="24"/>
              </w:rPr>
            </w:pPr>
            <w:r>
              <w:rPr>
                <w:b/>
                <w:sz w:val="24"/>
              </w:rPr>
              <w:t>Tests, Essays, Projects, Binder Checks</w:t>
            </w:r>
          </w:p>
        </w:tc>
        <w:tc>
          <w:tcPr>
            <w:tcW w:w="1080" w:type="dxa"/>
            <w:vAlign w:val="center"/>
          </w:tcPr>
          <w:p w:rsidR="00FB7D85" w:rsidRPr="00FB7D85" w:rsidRDefault="00FB7D85" w:rsidP="00FB7D85">
            <w:pPr>
              <w:jc w:val="center"/>
              <w:rPr>
                <w:b/>
                <w:sz w:val="24"/>
              </w:rPr>
            </w:pPr>
            <w:r w:rsidRPr="00FB7D85">
              <w:rPr>
                <w:b/>
                <w:sz w:val="24"/>
              </w:rPr>
              <w:t>60 %</w:t>
            </w:r>
          </w:p>
        </w:tc>
      </w:tr>
      <w:tr w:rsidR="00FB7D85" w:rsidTr="00817867">
        <w:tc>
          <w:tcPr>
            <w:tcW w:w="4410" w:type="dxa"/>
            <w:vAlign w:val="center"/>
          </w:tcPr>
          <w:p w:rsidR="00FB7D85" w:rsidRPr="00FB7D85" w:rsidRDefault="00FB7D85" w:rsidP="00FB7D85">
            <w:pPr>
              <w:jc w:val="center"/>
              <w:rPr>
                <w:b/>
                <w:sz w:val="24"/>
              </w:rPr>
            </w:pPr>
            <w:r w:rsidRPr="00FB7D85">
              <w:rPr>
                <w:b/>
                <w:sz w:val="24"/>
              </w:rPr>
              <w:t>Course Total:</w:t>
            </w:r>
          </w:p>
        </w:tc>
        <w:tc>
          <w:tcPr>
            <w:tcW w:w="1080" w:type="dxa"/>
            <w:vAlign w:val="center"/>
          </w:tcPr>
          <w:p w:rsidR="00FB7D85" w:rsidRPr="00FB7D85" w:rsidRDefault="00FB7D85" w:rsidP="00FB7D85">
            <w:pPr>
              <w:jc w:val="center"/>
              <w:rPr>
                <w:b/>
                <w:sz w:val="24"/>
              </w:rPr>
            </w:pPr>
            <w:r w:rsidRPr="00FB7D85">
              <w:rPr>
                <w:b/>
                <w:sz w:val="24"/>
              </w:rPr>
              <w:t>100 %</w:t>
            </w:r>
          </w:p>
        </w:tc>
      </w:tr>
    </w:tbl>
    <w:tbl>
      <w:tblPr>
        <w:tblStyle w:val="TableGrid"/>
        <w:tblpPr w:leftFromText="180" w:rightFromText="180" w:vertAnchor="text" w:horzAnchor="page" w:tblpX="8552" w:tblpY="-1783"/>
        <w:tblW w:w="0" w:type="auto"/>
        <w:tblLook w:val="04A0" w:firstRow="1" w:lastRow="0" w:firstColumn="1" w:lastColumn="0" w:noHBand="0" w:noVBand="1"/>
      </w:tblPr>
      <w:tblGrid>
        <w:gridCol w:w="738"/>
        <w:gridCol w:w="1080"/>
      </w:tblGrid>
      <w:tr w:rsidR="00817867" w:rsidTr="00817867">
        <w:tc>
          <w:tcPr>
            <w:tcW w:w="1818" w:type="dxa"/>
            <w:gridSpan w:val="2"/>
            <w:shd w:val="clear" w:color="auto" w:fill="D9D9D9" w:themeFill="background1" w:themeFillShade="D9"/>
          </w:tcPr>
          <w:p w:rsidR="00817867" w:rsidRPr="00FB7D85" w:rsidRDefault="00817867" w:rsidP="00817867">
            <w:pPr>
              <w:jc w:val="center"/>
              <w:rPr>
                <w:b/>
                <w:sz w:val="24"/>
              </w:rPr>
            </w:pPr>
            <w:r>
              <w:rPr>
                <w:b/>
                <w:sz w:val="24"/>
              </w:rPr>
              <w:t>Grade Scale</w:t>
            </w:r>
          </w:p>
        </w:tc>
      </w:tr>
      <w:tr w:rsidR="00817867" w:rsidTr="00817867">
        <w:tc>
          <w:tcPr>
            <w:tcW w:w="738" w:type="dxa"/>
          </w:tcPr>
          <w:p w:rsidR="00817867" w:rsidRPr="00FB7D85" w:rsidRDefault="00817867" w:rsidP="00817867">
            <w:pPr>
              <w:jc w:val="center"/>
              <w:rPr>
                <w:b/>
                <w:sz w:val="24"/>
              </w:rPr>
            </w:pPr>
            <w:r w:rsidRPr="00FB7D85">
              <w:rPr>
                <w:b/>
                <w:sz w:val="24"/>
              </w:rPr>
              <w:t>A</w:t>
            </w:r>
          </w:p>
        </w:tc>
        <w:tc>
          <w:tcPr>
            <w:tcW w:w="1080" w:type="dxa"/>
          </w:tcPr>
          <w:p w:rsidR="00817867" w:rsidRPr="00FB7D85" w:rsidRDefault="00817867" w:rsidP="00817867">
            <w:pPr>
              <w:jc w:val="center"/>
              <w:rPr>
                <w:b/>
                <w:sz w:val="24"/>
              </w:rPr>
            </w:pPr>
            <w:r w:rsidRPr="00FB7D85">
              <w:rPr>
                <w:b/>
                <w:sz w:val="24"/>
              </w:rPr>
              <w:t>100-90</w:t>
            </w:r>
          </w:p>
        </w:tc>
      </w:tr>
      <w:tr w:rsidR="00817867" w:rsidTr="00817867">
        <w:tc>
          <w:tcPr>
            <w:tcW w:w="738" w:type="dxa"/>
          </w:tcPr>
          <w:p w:rsidR="00817867" w:rsidRPr="00FB7D85" w:rsidRDefault="00817867" w:rsidP="00817867">
            <w:pPr>
              <w:jc w:val="center"/>
              <w:rPr>
                <w:b/>
                <w:sz w:val="24"/>
              </w:rPr>
            </w:pPr>
            <w:r w:rsidRPr="00FB7D85">
              <w:rPr>
                <w:b/>
                <w:sz w:val="24"/>
              </w:rPr>
              <w:t>B</w:t>
            </w:r>
          </w:p>
        </w:tc>
        <w:tc>
          <w:tcPr>
            <w:tcW w:w="1080" w:type="dxa"/>
          </w:tcPr>
          <w:p w:rsidR="00817867" w:rsidRPr="00FB7D85" w:rsidRDefault="00817867" w:rsidP="00817867">
            <w:pPr>
              <w:jc w:val="center"/>
              <w:rPr>
                <w:b/>
                <w:sz w:val="24"/>
              </w:rPr>
            </w:pPr>
            <w:r w:rsidRPr="00FB7D85">
              <w:rPr>
                <w:b/>
                <w:sz w:val="24"/>
              </w:rPr>
              <w:t>89-80</w:t>
            </w:r>
          </w:p>
        </w:tc>
      </w:tr>
      <w:tr w:rsidR="00817867" w:rsidTr="00817867">
        <w:tc>
          <w:tcPr>
            <w:tcW w:w="738" w:type="dxa"/>
          </w:tcPr>
          <w:p w:rsidR="00817867" w:rsidRPr="00FB7D85" w:rsidRDefault="00817867" w:rsidP="00817867">
            <w:pPr>
              <w:jc w:val="center"/>
              <w:rPr>
                <w:b/>
                <w:sz w:val="24"/>
              </w:rPr>
            </w:pPr>
            <w:r w:rsidRPr="00FB7D85">
              <w:rPr>
                <w:b/>
                <w:sz w:val="24"/>
              </w:rPr>
              <w:t>C</w:t>
            </w:r>
          </w:p>
        </w:tc>
        <w:tc>
          <w:tcPr>
            <w:tcW w:w="1080" w:type="dxa"/>
          </w:tcPr>
          <w:p w:rsidR="00817867" w:rsidRPr="00FB7D85" w:rsidRDefault="00817867" w:rsidP="00817867">
            <w:pPr>
              <w:jc w:val="center"/>
              <w:rPr>
                <w:b/>
                <w:sz w:val="24"/>
              </w:rPr>
            </w:pPr>
            <w:r w:rsidRPr="00FB7D85">
              <w:rPr>
                <w:b/>
                <w:sz w:val="24"/>
              </w:rPr>
              <w:t>79-70</w:t>
            </w:r>
          </w:p>
        </w:tc>
      </w:tr>
      <w:tr w:rsidR="00817867" w:rsidTr="00817867">
        <w:tc>
          <w:tcPr>
            <w:tcW w:w="738" w:type="dxa"/>
          </w:tcPr>
          <w:p w:rsidR="00817867" w:rsidRPr="00FB7D85" w:rsidRDefault="00817867" w:rsidP="00817867">
            <w:pPr>
              <w:jc w:val="center"/>
              <w:rPr>
                <w:b/>
                <w:sz w:val="24"/>
              </w:rPr>
            </w:pPr>
            <w:r w:rsidRPr="00FB7D85">
              <w:rPr>
                <w:b/>
                <w:sz w:val="24"/>
              </w:rPr>
              <w:t>D</w:t>
            </w:r>
          </w:p>
        </w:tc>
        <w:tc>
          <w:tcPr>
            <w:tcW w:w="1080" w:type="dxa"/>
          </w:tcPr>
          <w:p w:rsidR="00817867" w:rsidRPr="00FB7D85" w:rsidRDefault="00817867" w:rsidP="00817867">
            <w:pPr>
              <w:jc w:val="center"/>
              <w:rPr>
                <w:b/>
                <w:sz w:val="24"/>
              </w:rPr>
            </w:pPr>
            <w:r w:rsidRPr="00FB7D85">
              <w:rPr>
                <w:b/>
                <w:sz w:val="24"/>
              </w:rPr>
              <w:t>69-60</w:t>
            </w:r>
          </w:p>
        </w:tc>
      </w:tr>
      <w:tr w:rsidR="00817867" w:rsidTr="00817867">
        <w:tc>
          <w:tcPr>
            <w:tcW w:w="738" w:type="dxa"/>
          </w:tcPr>
          <w:p w:rsidR="00817867" w:rsidRPr="00FB7D85" w:rsidRDefault="00817867" w:rsidP="00817867">
            <w:pPr>
              <w:jc w:val="center"/>
              <w:rPr>
                <w:b/>
                <w:sz w:val="24"/>
              </w:rPr>
            </w:pPr>
            <w:r w:rsidRPr="00FB7D85">
              <w:rPr>
                <w:b/>
                <w:sz w:val="24"/>
              </w:rPr>
              <w:t>F</w:t>
            </w:r>
          </w:p>
        </w:tc>
        <w:tc>
          <w:tcPr>
            <w:tcW w:w="1080" w:type="dxa"/>
          </w:tcPr>
          <w:p w:rsidR="00817867" w:rsidRPr="00FB7D85" w:rsidRDefault="00817867" w:rsidP="00817867">
            <w:pPr>
              <w:jc w:val="center"/>
              <w:rPr>
                <w:b/>
                <w:sz w:val="24"/>
              </w:rPr>
            </w:pPr>
            <w:r w:rsidRPr="00FB7D85">
              <w:rPr>
                <w:b/>
                <w:sz w:val="24"/>
              </w:rPr>
              <w:t>59-0</w:t>
            </w:r>
          </w:p>
        </w:tc>
      </w:tr>
    </w:tbl>
    <w:p w:rsidR="00FA443C" w:rsidRPr="00FA443C" w:rsidRDefault="00FA443C" w:rsidP="00FA443C">
      <w:pPr>
        <w:spacing w:after="0"/>
        <w:jc w:val="both"/>
        <w:rPr>
          <w:sz w:val="12"/>
          <w:szCs w:val="12"/>
        </w:rPr>
      </w:pPr>
    </w:p>
    <w:p w:rsidR="00FA443C" w:rsidRDefault="00FA443C" w:rsidP="00FA443C">
      <w:pPr>
        <w:spacing w:after="0"/>
        <w:jc w:val="both"/>
        <w:rPr>
          <w:sz w:val="24"/>
        </w:rPr>
      </w:pPr>
      <w:r>
        <w:rPr>
          <w:sz w:val="24"/>
        </w:rPr>
        <w:t>The following district policies apply to retesting and redoing an assignment:</w:t>
      </w:r>
    </w:p>
    <w:p w:rsidR="00FA443C" w:rsidRDefault="00FA443C" w:rsidP="00FA443C">
      <w:pPr>
        <w:pStyle w:val="Default"/>
        <w:numPr>
          <w:ilvl w:val="0"/>
          <w:numId w:val="11"/>
        </w:numPr>
        <w:ind w:left="360"/>
        <w:jc w:val="both"/>
        <w:rPr>
          <w:i/>
          <w:szCs w:val="22"/>
        </w:rPr>
      </w:pPr>
      <w:r>
        <w:rPr>
          <w:i/>
          <w:szCs w:val="22"/>
        </w:rPr>
        <w:t xml:space="preserve">“All students will be given up to three additional school days to redo a </w:t>
      </w:r>
      <w:r>
        <w:rPr>
          <w:b/>
          <w:bCs/>
          <w:i/>
          <w:szCs w:val="22"/>
        </w:rPr>
        <w:t xml:space="preserve">FAILING MAJOR ASSIGNMENT, </w:t>
      </w:r>
      <w:r>
        <w:rPr>
          <w:i/>
          <w:szCs w:val="22"/>
        </w:rPr>
        <w:t xml:space="preserve">but the grade will be no higher than a 70. The teacher has the option of assigning an alternative major assignment and may require additional tutoring, assignments, etc., as appropriate. The teacher will indicate in the gradebook that the assignment was redone. </w:t>
      </w:r>
      <w:r>
        <w:rPr>
          <w:b/>
          <w:i/>
          <w:szCs w:val="22"/>
          <w:u w:val="single"/>
        </w:rPr>
        <w:t>This provision does NOT apply to Pre-AP, Dual Enrollment (taught by Sharyland ISD teachers), or AP students.</w:t>
      </w:r>
      <w:r>
        <w:rPr>
          <w:i/>
          <w:szCs w:val="22"/>
        </w:rPr>
        <w:t>”</w:t>
      </w:r>
    </w:p>
    <w:p w:rsidR="00FA443C" w:rsidRDefault="00FA443C" w:rsidP="00FA443C">
      <w:pPr>
        <w:pStyle w:val="Default"/>
        <w:ind w:left="360"/>
        <w:jc w:val="both"/>
        <w:rPr>
          <w:i/>
          <w:sz w:val="6"/>
          <w:szCs w:val="6"/>
        </w:rPr>
      </w:pPr>
    </w:p>
    <w:p w:rsidR="00FA443C" w:rsidRDefault="00FA443C" w:rsidP="00FA443C">
      <w:pPr>
        <w:pStyle w:val="Default"/>
        <w:numPr>
          <w:ilvl w:val="0"/>
          <w:numId w:val="11"/>
        </w:numPr>
        <w:ind w:left="360"/>
        <w:jc w:val="both"/>
        <w:rPr>
          <w:i/>
          <w:szCs w:val="22"/>
        </w:rPr>
      </w:pPr>
      <w:r>
        <w:rPr>
          <w:i/>
          <w:szCs w:val="22"/>
        </w:rPr>
        <w:t xml:space="preserve">“All students will be given three additional days ( </w:t>
      </w:r>
      <w:r w:rsidRPr="008672FE">
        <w:rPr>
          <w:b/>
          <w:i/>
          <w:szCs w:val="22"/>
        </w:rPr>
        <w:t>two days for Pre-AP</w:t>
      </w:r>
      <w:r>
        <w:rPr>
          <w:i/>
          <w:szCs w:val="22"/>
        </w:rPr>
        <w:t xml:space="preserve">, AP, and DE taught by SISD teachers) to make up </w:t>
      </w:r>
      <w:r>
        <w:rPr>
          <w:b/>
          <w:i/>
          <w:szCs w:val="22"/>
        </w:rPr>
        <w:t>LATE MAJOR ASSSIGNMENT</w:t>
      </w:r>
      <w:r>
        <w:rPr>
          <w:i/>
          <w:szCs w:val="22"/>
        </w:rPr>
        <w:t xml:space="preserve"> and may be required additional tutoring, assignments, etc., as appropriate (with a progressive grade penalty of 10 points per day, 15 points per day for Pre-AP/AP/Dual Enrollment, taught by Sharyland ISD teachers). </w:t>
      </w:r>
      <w:r>
        <w:rPr>
          <w:b/>
          <w:i/>
          <w:szCs w:val="22"/>
          <w:u w:val="single"/>
        </w:rPr>
        <w:t>Pre-AP/AP/Dual Enrollment (taught by Sharyland ISD teachers) students will NOT be allowed to submit late minor work</w:t>
      </w:r>
      <w:r>
        <w:rPr>
          <w:i/>
          <w:szCs w:val="22"/>
        </w:rPr>
        <w:t>.”</w:t>
      </w:r>
    </w:p>
    <w:p w:rsidR="00FA443C" w:rsidRDefault="00FA443C" w:rsidP="00FA443C">
      <w:pPr>
        <w:spacing w:after="0"/>
        <w:jc w:val="both"/>
        <w:rPr>
          <w:b/>
          <w:sz w:val="12"/>
          <w:szCs w:val="12"/>
          <w:u w:val="single"/>
        </w:rPr>
      </w:pPr>
    </w:p>
    <w:p w:rsidR="00FA443C" w:rsidRDefault="00FA443C" w:rsidP="00FA443C">
      <w:pPr>
        <w:spacing w:after="0"/>
        <w:jc w:val="both"/>
        <w:rPr>
          <w:b/>
          <w:sz w:val="24"/>
          <w:u w:val="single"/>
        </w:rPr>
      </w:pPr>
      <w:r>
        <w:rPr>
          <w:b/>
          <w:sz w:val="24"/>
          <w:u w:val="single"/>
        </w:rPr>
        <w:t>Attendance/Make-Up Work:</w:t>
      </w:r>
    </w:p>
    <w:p w:rsidR="00FA443C" w:rsidRDefault="00FA443C" w:rsidP="00FA443C">
      <w:pPr>
        <w:spacing w:after="0"/>
        <w:jc w:val="both"/>
        <w:rPr>
          <w:sz w:val="24"/>
        </w:rPr>
      </w:pPr>
      <w:r>
        <w:rPr>
          <w:sz w:val="24"/>
        </w:rPr>
        <w:t>Daily class attendance is vital to ensuring class success. The following district guidelines apply for make-up work when a student is absent:</w:t>
      </w:r>
    </w:p>
    <w:p w:rsidR="00FA443C" w:rsidRDefault="00FA443C" w:rsidP="00FA443C">
      <w:pPr>
        <w:pStyle w:val="Default"/>
        <w:numPr>
          <w:ilvl w:val="0"/>
          <w:numId w:val="10"/>
        </w:numPr>
        <w:ind w:left="360"/>
        <w:jc w:val="both"/>
        <w:rPr>
          <w:i/>
          <w:szCs w:val="22"/>
        </w:rPr>
      </w:pPr>
      <w:r>
        <w:rPr>
          <w:i/>
          <w:szCs w:val="22"/>
        </w:rPr>
        <w:t xml:space="preserve">“Students with an </w:t>
      </w:r>
      <w:r>
        <w:rPr>
          <w:b/>
          <w:bCs/>
          <w:i/>
          <w:szCs w:val="22"/>
        </w:rPr>
        <w:t xml:space="preserve">EXCUSED ABSENCE </w:t>
      </w:r>
      <w:r>
        <w:rPr>
          <w:i/>
          <w:szCs w:val="22"/>
        </w:rPr>
        <w:t xml:space="preserve">from school (including off-campus suspension) will have the opportunity to make up missed work at the rate of one day for one day missed, with a maximum of five days. Student will receive a zero for any major or minor assignment not made up within the allotted time.” </w:t>
      </w:r>
    </w:p>
    <w:p w:rsidR="00FA443C" w:rsidRDefault="00FA443C" w:rsidP="00FA443C">
      <w:pPr>
        <w:pStyle w:val="Default"/>
        <w:ind w:left="360"/>
        <w:jc w:val="both"/>
        <w:rPr>
          <w:i/>
          <w:sz w:val="6"/>
          <w:szCs w:val="6"/>
        </w:rPr>
      </w:pPr>
    </w:p>
    <w:p w:rsidR="00FA443C" w:rsidRDefault="00FA443C" w:rsidP="00FA443C">
      <w:pPr>
        <w:pStyle w:val="Default"/>
        <w:numPr>
          <w:ilvl w:val="0"/>
          <w:numId w:val="10"/>
        </w:numPr>
        <w:ind w:left="360"/>
        <w:jc w:val="both"/>
        <w:rPr>
          <w:i/>
          <w:szCs w:val="22"/>
        </w:rPr>
      </w:pPr>
      <w:r>
        <w:rPr>
          <w:i/>
          <w:szCs w:val="22"/>
        </w:rPr>
        <w:t xml:space="preserve">“Students with an </w:t>
      </w:r>
      <w:r>
        <w:rPr>
          <w:b/>
          <w:bCs/>
          <w:i/>
          <w:szCs w:val="22"/>
        </w:rPr>
        <w:t xml:space="preserve">UNEXCUSED ABSENCE </w:t>
      </w:r>
      <w:r>
        <w:rPr>
          <w:i/>
          <w:szCs w:val="22"/>
        </w:rPr>
        <w:t>may not make up missed work; however, if the unexcused absence is determined to be caused by an extenuating circumstance, makeup work may be allowed. The grade for the makeup work will be no higher than a 70.”</w:t>
      </w:r>
    </w:p>
    <w:p w:rsidR="00FA443C" w:rsidRDefault="00FA443C" w:rsidP="00FA443C">
      <w:pPr>
        <w:spacing w:after="0"/>
        <w:jc w:val="both"/>
        <w:rPr>
          <w:sz w:val="12"/>
          <w:szCs w:val="12"/>
        </w:rPr>
      </w:pPr>
    </w:p>
    <w:p w:rsidR="00FA443C" w:rsidRDefault="00FA443C" w:rsidP="00FA443C">
      <w:pPr>
        <w:spacing w:after="0" w:line="240" w:lineRule="auto"/>
        <w:jc w:val="both"/>
        <w:rPr>
          <w:rFonts w:cstheme="minorHAnsi"/>
          <w:b/>
          <w:sz w:val="24"/>
          <w:u w:val="single"/>
        </w:rPr>
      </w:pPr>
      <w:r>
        <w:rPr>
          <w:rFonts w:cstheme="minorHAnsi"/>
          <w:b/>
          <w:sz w:val="24"/>
          <w:u w:val="single"/>
        </w:rPr>
        <w:t>Academic Dishonesty:</w:t>
      </w:r>
    </w:p>
    <w:p w:rsidR="00E538C7" w:rsidRPr="00E538C7" w:rsidRDefault="00FA443C" w:rsidP="00FA443C">
      <w:pPr>
        <w:spacing w:after="0"/>
        <w:jc w:val="both"/>
        <w:rPr>
          <w:b/>
          <w:sz w:val="24"/>
          <w:u w:val="single"/>
        </w:rPr>
      </w:pPr>
      <w:r>
        <w:rPr>
          <w:sz w:val="24"/>
        </w:rPr>
        <w:t xml:space="preserve">Academic integrity is fundamental to the activities and principles of our school. </w:t>
      </w:r>
      <w:r>
        <w:rPr>
          <w:b/>
          <w:i/>
          <w:sz w:val="24"/>
          <w:u w:val="single"/>
        </w:rPr>
        <w:t>“No student shall cheat or copy the work of another.  Plagiarism, the use of another person’s original ideas or writings as one’s own without giving credit to the true author, will be considered cheating, and the student will be subject to academic discipline that may include loss of credit for the work in question.”</w:t>
      </w:r>
    </w:p>
    <w:sectPr w:rsidR="00E538C7" w:rsidRPr="00E538C7" w:rsidSect="00E30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5E8"/>
    <w:multiLevelType w:val="hybridMultilevel"/>
    <w:tmpl w:val="B090E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02E0E"/>
    <w:multiLevelType w:val="hybridMultilevel"/>
    <w:tmpl w:val="2AAA1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701F8"/>
    <w:multiLevelType w:val="hybridMultilevel"/>
    <w:tmpl w:val="81DE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62D62"/>
    <w:multiLevelType w:val="hybridMultilevel"/>
    <w:tmpl w:val="70004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669AA"/>
    <w:multiLevelType w:val="hybridMultilevel"/>
    <w:tmpl w:val="4ECC7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9164C"/>
    <w:multiLevelType w:val="hybridMultilevel"/>
    <w:tmpl w:val="E85001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F10E6C"/>
    <w:multiLevelType w:val="hybridMultilevel"/>
    <w:tmpl w:val="02944D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5"/>
  </w:num>
  <w:num w:numId="8">
    <w:abstractNumId w:val="0"/>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79"/>
    <w:rsid w:val="000C273F"/>
    <w:rsid w:val="0024431F"/>
    <w:rsid w:val="0025282C"/>
    <w:rsid w:val="002D1166"/>
    <w:rsid w:val="003A6D0B"/>
    <w:rsid w:val="003C1ABA"/>
    <w:rsid w:val="00447A09"/>
    <w:rsid w:val="00494BEA"/>
    <w:rsid w:val="00521E74"/>
    <w:rsid w:val="0063697E"/>
    <w:rsid w:val="006F041D"/>
    <w:rsid w:val="007F4ED7"/>
    <w:rsid w:val="00817867"/>
    <w:rsid w:val="008672FE"/>
    <w:rsid w:val="00CE5644"/>
    <w:rsid w:val="00D03D43"/>
    <w:rsid w:val="00D62EAD"/>
    <w:rsid w:val="00D94A52"/>
    <w:rsid w:val="00D97FEB"/>
    <w:rsid w:val="00DD71F8"/>
    <w:rsid w:val="00E30E79"/>
    <w:rsid w:val="00E538C7"/>
    <w:rsid w:val="00FA443C"/>
    <w:rsid w:val="00FB7D85"/>
    <w:rsid w:val="00FC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5246"/>
  <w15:docId w15:val="{4E66EF51-9249-41F8-81F8-689CB750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E79"/>
    <w:rPr>
      <w:rFonts w:ascii="Tahoma" w:hAnsi="Tahoma" w:cs="Tahoma"/>
      <w:sz w:val="16"/>
      <w:szCs w:val="16"/>
    </w:rPr>
  </w:style>
  <w:style w:type="table" w:styleId="TableGrid">
    <w:name w:val="Table Grid"/>
    <w:basedOn w:val="TableNormal"/>
    <w:uiPriority w:val="59"/>
    <w:rsid w:val="00E30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D0B"/>
    <w:rPr>
      <w:color w:val="0000FF"/>
      <w:u w:val="single"/>
    </w:rPr>
  </w:style>
  <w:style w:type="paragraph" w:styleId="ListParagraph">
    <w:name w:val="List Paragraph"/>
    <w:basedOn w:val="Normal"/>
    <w:uiPriority w:val="34"/>
    <w:qFormat/>
    <w:rsid w:val="00D62EAD"/>
    <w:pPr>
      <w:ind w:left="720"/>
      <w:contextualSpacing/>
    </w:pPr>
  </w:style>
  <w:style w:type="paragraph" w:customStyle="1" w:styleId="Default">
    <w:name w:val="Default"/>
    <w:rsid w:val="00FA44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26936">
      <w:bodyDiv w:val="1"/>
      <w:marLeft w:val="0"/>
      <w:marRight w:val="0"/>
      <w:marTop w:val="0"/>
      <w:marBottom w:val="0"/>
      <w:divBdr>
        <w:top w:val="none" w:sz="0" w:space="0" w:color="auto"/>
        <w:left w:val="none" w:sz="0" w:space="0" w:color="auto"/>
        <w:bottom w:val="none" w:sz="0" w:space="0" w:color="auto"/>
        <w:right w:val="none" w:sz="0" w:space="0" w:color="auto"/>
      </w:divBdr>
    </w:div>
    <w:div w:id="1176534178">
      <w:bodyDiv w:val="1"/>
      <w:marLeft w:val="0"/>
      <w:marRight w:val="0"/>
      <w:marTop w:val="0"/>
      <w:marBottom w:val="0"/>
      <w:divBdr>
        <w:top w:val="none" w:sz="0" w:space="0" w:color="auto"/>
        <w:left w:val="none" w:sz="0" w:space="0" w:color="auto"/>
        <w:bottom w:val="none" w:sz="0" w:space="0" w:color="auto"/>
        <w:right w:val="none" w:sz="0" w:space="0" w:color="auto"/>
      </w:divBdr>
    </w:div>
    <w:div w:id="1210452994">
      <w:bodyDiv w:val="1"/>
      <w:marLeft w:val="0"/>
      <w:marRight w:val="0"/>
      <w:marTop w:val="0"/>
      <w:marBottom w:val="0"/>
      <w:divBdr>
        <w:top w:val="none" w:sz="0" w:space="0" w:color="auto"/>
        <w:left w:val="none" w:sz="0" w:space="0" w:color="auto"/>
        <w:bottom w:val="none" w:sz="0" w:space="0" w:color="auto"/>
        <w:right w:val="none" w:sz="0" w:space="0" w:color="auto"/>
      </w:divBdr>
    </w:div>
    <w:div w:id="14981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0707-8FD4-45ED-A46D-5DAFE5BF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De La Fuente, Robert C.</cp:lastModifiedBy>
  <cp:revision>5</cp:revision>
  <dcterms:created xsi:type="dcterms:W3CDTF">2017-08-26T18:58:00Z</dcterms:created>
  <dcterms:modified xsi:type="dcterms:W3CDTF">2019-09-02T14:34:00Z</dcterms:modified>
</cp:coreProperties>
</file>